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0C" w:rsidRPr="00923A1D" w:rsidRDefault="0016610C" w:rsidP="0016610C">
      <w:pPr>
        <w:rPr>
          <w:rFonts w:ascii="宋体" w:hAnsi="宋体"/>
        </w:rPr>
      </w:pPr>
      <w:r>
        <w:rPr>
          <w:rFonts w:ascii="宋体" w:hAnsi="宋体" w:hint="eastAsia"/>
          <w:noProof/>
        </w:rPr>
        <w:drawing>
          <wp:anchor distT="0" distB="0" distL="114300" distR="114300" simplePos="0" relativeHeight="251660288" behindDoc="0" locked="0" layoutInCell="1" allowOverlap="1" wp14:anchorId="6D34ADD5" wp14:editId="18FDB2AD">
            <wp:simplePos x="0" y="0"/>
            <wp:positionH relativeFrom="column">
              <wp:posOffset>4800600</wp:posOffset>
            </wp:positionH>
            <wp:positionV relativeFrom="paragraph">
              <wp:posOffset>-7620</wp:posOffset>
            </wp:positionV>
            <wp:extent cx="313055" cy="368300"/>
            <wp:effectExtent l="0" t="0" r="0" b="0"/>
            <wp:wrapNone/>
            <wp:docPr id="2" name="图片 2" descr="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3A1D">
        <w:rPr>
          <w:rFonts w:ascii="宋体" w:hAnsi="宋体"/>
        </w:rPr>
        <w:t>核准日期：</w:t>
      </w:r>
      <w:r w:rsidRPr="00923A1D">
        <w:rPr>
          <w:rFonts w:ascii="宋体" w:hAnsi="宋体" w:hint="eastAsia"/>
        </w:rPr>
        <w:t>2015年06月16日</w:t>
      </w:r>
    </w:p>
    <w:p w:rsidR="0016610C" w:rsidRPr="00923A1D" w:rsidRDefault="0016610C" w:rsidP="0016610C">
      <w:pPr>
        <w:spacing w:line="0" w:lineRule="atLeast"/>
        <w:rPr>
          <w:rFonts w:ascii="宋体" w:hAnsi="宋体"/>
          <w:szCs w:val="21"/>
        </w:rPr>
      </w:pPr>
      <w:r w:rsidRPr="00923A1D">
        <w:rPr>
          <w:rFonts w:ascii="宋体" w:hAnsi="宋体" w:hint="eastAsia"/>
          <w:szCs w:val="21"/>
        </w:rPr>
        <w:t>修订日期：2015年12月01日</w:t>
      </w:r>
    </w:p>
    <w:p w:rsidR="0016610C" w:rsidRPr="00923A1D" w:rsidRDefault="0016610C" w:rsidP="0016610C">
      <w:pPr>
        <w:spacing w:line="0" w:lineRule="atLeast"/>
        <w:rPr>
          <w:rFonts w:ascii="宋体" w:hAnsi="宋体"/>
          <w:szCs w:val="21"/>
        </w:rPr>
      </w:pPr>
      <w:r w:rsidRPr="00923A1D">
        <w:rPr>
          <w:rFonts w:ascii="宋体" w:hAnsi="宋体" w:hint="eastAsia"/>
          <w:szCs w:val="21"/>
        </w:rPr>
        <w:t>修订日期：2019年12月01日</w:t>
      </w:r>
    </w:p>
    <w:p w:rsidR="0016610C" w:rsidRPr="00923A1D" w:rsidRDefault="0016610C" w:rsidP="0016610C">
      <w:pPr>
        <w:spacing w:line="0" w:lineRule="atLeast"/>
        <w:rPr>
          <w:rFonts w:ascii="宋体" w:hAnsi="宋体"/>
          <w:szCs w:val="21"/>
        </w:rPr>
      </w:pPr>
      <w:r w:rsidRPr="00923A1D">
        <w:rPr>
          <w:rFonts w:ascii="宋体" w:hAnsi="宋体" w:hint="eastAsia"/>
          <w:szCs w:val="21"/>
        </w:rPr>
        <w:t>修订日期：2020年12月30日</w:t>
      </w:r>
    </w:p>
    <w:p w:rsidR="0016610C" w:rsidRPr="00923A1D" w:rsidRDefault="0016610C" w:rsidP="0016610C">
      <w:pPr>
        <w:rPr>
          <w:rFonts w:ascii="宋体" w:hAnsi="宋体"/>
        </w:rPr>
      </w:pPr>
      <w:r w:rsidRPr="00923A1D">
        <w:rPr>
          <w:rFonts w:ascii="宋体" w:hAnsi="宋体" w:hint="eastAsia"/>
        </w:rPr>
        <w:t>修订日期：2021年04月09日</w:t>
      </w:r>
    </w:p>
    <w:p w:rsidR="0016610C" w:rsidRPr="00D7419D" w:rsidRDefault="0016610C" w:rsidP="0016610C">
      <w:r w:rsidRPr="00923A1D">
        <w:rPr>
          <w:rFonts w:ascii="宋体" w:hAnsi="宋体" w:hint="eastAsia"/>
          <w:szCs w:val="21"/>
        </w:rPr>
        <w:t>修订日期：2024年03月12日</w:t>
      </w:r>
      <w:bookmarkStart w:id="0" w:name="_GoBack"/>
      <w:bookmarkEnd w:id="0"/>
      <w:r w:rsidRPr="00D7419D">
        <w:rPr>
          <w:rFonts w:hint="eastAsia"/>
        </w:rPr>
        <w:t xml:space="preserve">                                                         </w:t>
      </w:r>
    </w:p>
    <w:p w:rsidR="0016610C" w:rsidRPr="00BE0480" w:rsidRDefault="0016610C" w:rsidP="0016610C">
      <w:pPr>
        <w:jc w:val="center"/>
        <w:rPr>
          <w:b/>
          <w:sz w:val="36"/>
          <w:szCs w:val="44"/>
        </w:rPr>
      </w:pPr>
      <w:r w:rsidRPr="00BE0480">
        <w:rPr>
          <w:rFonts w:ascii="宋体" w:hAnsi="宋体" w:hint="eastAsia"/>
          <w:b/>
          <w:sz w:val="36"/>
          <w:szCs w:val="36"/>
        </w:rPr>
        <w:t>醋酸泼尼松片</w:t>
      </w:r>
      <w:r w:rsidRPr="00BE0480">
        <w:rPr>
          <w:b/>
          <w:sz w:val="36"/>
          <w:szCs w:val="44"/>
        </w:rPr>
        <w:t>说明书</w:t>
      </w:r>
    </w:p>
    <w:p w:rsidR="0016610C" w:rsidRPr="00BE0480" w:rsidRDefault="0016610C" w:rsidP="0016610C">
      <w:pPr>
        <w:jc w:val="center"/>
      </w:pPr>
      <w:r w:rsidRPr="00BE0480">
        <w:t>请仔细阅读说明书并在医师指导下使用</w:t>
      </w:r>
    </w:p>
    <w:p w:rsidR="0016610C" w:rsidRPr="00BE0480" w:rsidRDefault="0016610C" w:rsidP="0016610C">
      <w:pPr>
        <w:ind w:firstLineChars="177" w:firstLine="425"/>
        <w:rPr>
          <w:b/>
          <w:sz w:val="24"/>
        </w:rPr>
      </w:pPr>
      <w:r w:rsidRPr="00BE0480">
        <w:rPr>
          <w:rFonts w:hint="eastAsia"/>
          <w:sz w:val="24"/>
        </w:rPr>
        <w:t>【药品名称】</w:t>
      </w:r>
      <w:r w:rsidRPr="00BE0480">
        <w:rPr>
          <w:rFonts w:hint="eastAsia"/>
          <w:sz w:val="24"/>
        </w:rPr>
        <w:t xml:space="preserve"> </w:t>
      </w:r>
    </w:p>
    <w:p w:rsidR="0016610C" w:rsidRPr="00BE0480" w:rsidRDefault="0016610C" w:rsidP="0016610C">
      <w:pPr>
        <w:pStyle w:val="a3"/>
        <w:ind w:firstLineChars="177" w:firstLine="425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通用名称：醋酸泼尼松片</w:t>
      </w:r>
      <w:r w:rsidRPr="00BE0480">
        <w:rPr>
          <w:rFonts w:hint="eastAsia"/>
          <w:sz w:val="24"/>
          <w:szCs w:val="24"/>
        </w:rPr>
        <w:t xml:space="preserve"> </w:t>
      </w:r>
    </w:p>
    <w:p w:rsidR="0016610C" w:rsidRPr="00BE0480" w:rsidRDefault="0016610C" w:rsidP="0016610C">
      <w:pPr>
        <w:pStyle w:val="a3"/>
        <w:ind w:firstLineChars="177" w:firstLine="425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英文名称：</w:t>
      </w:r>
      <w:r w:rsidRPr="00BE0480">
        <w:rPr>
          <w:rFonts w:hint="eastAsia"/>
          <w:sz w:val="24"/>
          <w:szCs w:val="24"/>
        </w:rPr>
        <w:t>Prednisone Acetate Tablets</w:t>
      </w:r>
    </w:p>
    <w:p w:rsidR="0016610C" w:rsidRPr="00BE0480" w:rsidRDefault="0016610C" w:rsidP="0016610C">
      <w:pPr>
        <w:pStyle w:val="a3"/>
        <w:ind w:firstLineChars="177" w:firstLine="425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汉语拼音：</w:t>
      </w:r>
      <w:proofErr w:type="spellStart"/>
      <w:r w:rsidRPr="00BE0480">
        <w:rPr>
          <w:rFonts w:ascii="宋体" w:hAnsi="宋体" w:hint="eastAsia"/>
          <w:sz w:val="24"/>
          <w:szCs w:val="24"/>
        </w:rPr>
        <w:t>Cusu</w:t>
      </w:r>
      <w:proofErr w:type="spellEnd"/>
      <w:r w:rsidRPr="00BE0480">
        <w:rPr>
          <w:rFonts w:ascii="宋体" w:hAnsi="宋体" w:hint="eastAsia"/>
          <w:sz w:val="24"/>
          <w:szCs w:val="24"/>
        </w:rPr>
        <w:t xml:space="preserve">ɑn </w:t>
      </w:r>
      <w:proofErr w:type="spellStart"/>
      <w:r w:rsidRPr="00BE0480">
        <w:rPr>
          <w:rFonts w:ascii="宋体" w:hAnsi="宋体" w:hint="eastAsia"/>
          <w:sz w:val="24"/>
          <w:szCs w:val="24"/>
        </w:rPr>
        <w:t>Ponison</w:t>
      </w:r>
      <w:proofErr w:type="spellEnd"/>
      <w:r w:rsidRPr="00BE0480">
        <w:rPr>
          <w:rFonts w:ascii="宋体" w:hAnsi="宋体" w:hint="eastAsia"/>
          <w:sz w:val="24"/>
          <w:szCs w:val="24"/>
        </w:rPr>
        <w:t>ɡ Piɑn</w:t>
      </w:r>
    </w:p>
    <w:p w:rsidR="0016610C" w:rsidRPr="00BE0480" w:rsidRDefault="0016610C" w:rsidP="0016610C">
      <w:pPr>
        <w:pStyle w:val="a3"/>
        <w:ind w:firstLineChars="177" w:firstLine="425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【成份】本品主要成份为醋酸泼尼松。</w:t>
      </w:r>
    </w:p>
    <w:p w:rsidR="0016610C" w:rsidRPr="00BE0480" w:rsidRDefault="0016610C" w:rsidP="0016610C">
      <w:pPr>
        <w:pStyle w:val="a3"/>
        <w:ind w:firstLineChars="177" w:firstLine="425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化学名称：</w:t>
      </w:r>
      <w:r w:rsidRPr="00BE0480">
        <w:rPr>
          <w:rFonts w:hint="eastAsia"/>
          <w:sz w:val="24"/>
          <w:szCs w:val="24"/>
        </w:rPr>
        <w:t>17</w:t>
      </w:r>
      <w:r w:rsidRPr="00BE0480">
        <w:rPr>
          <w:rFonts w:ascii="Symbol" w:hAnsi="Symbol"/>
          <w:i/>
          <w:iCs/>
          <w:sz w:val="24"/>
          <w:szCs w:val="24"/>
        </w:rPr>
        <w:t></w:t>
      </w:r>
      <w:r w:rsidRPr="00BE0480">
        <w:rPr>
          <w:rFonts w:hint="eastAsia"/>
          <w:sz w:val="24"/>
          <w:szCs w:val="24"/>
        </w:rPr>
        <w:t>,21-</w:t>
      </w:r>
      <w:r w:rsidRPr="00BE0480">
        <w:rPr>
          <w:rFonts w:hint="eastAsia"/>
          <w:sz w:val="24"/>
          <w:szCs w:val="24"/>
        </w:rPr>
        <w:t>二羟基孕</w:t>
      </w:r>
      <w:proofErr w:type="gramStart"/>
      <w:r w:rsidRPr="00BE0480">
        <w:rPr>
          <w:rFonts w:hint="eastAsia"/>
          <w:sz w:val="24"/>
          <w:szCs w:val="24"/>
        </w:rPr>
        <w:t>甾</w:t>
      </w:r>
      <w:proofErr w:type="gramEnd"/>
      <w:r w:rsidRPr="00BE0480">
        <w:rPr>
          <w:rFonts w:hint="eastAsia"/>
          <w:sz w:val="24"/>
          <w:szCs w:val="24"/>
        </w:rPr>
        <w:t>-1,4-</w:t>
      </w:r>
      <w:r w:rsidRPr="00BE0480">
        <w:rPr>
          <w:rFonts w:hint="eastAsia"/>
          <w:sz w:val="24"/>
          <w:szCs w:val="24"/>
        </w:rPr>
        <w:t>二烯</w:t>
      </w:r>
      <w:r w:rsidRPr="00BE0480">
        <w:rPr>
          <w:rFonts w:hint="eastAsia"/>
          <w:sz w:val="24"/>
          <w:szCs w:val="24"/>
        </w:rPr>
        <w:t>-3,11,20-</w:t>
      </w:r>
      <w:r w:rsidRPr="00BE0480">
        <w:rPr>
          <w:rFonts w:hint="eastAsia"/>
          <w:sz w:val="24"/>
          <w:szCs w:val="24"/>
        </w:rPr>
        <w:t>三酮</w:t>
      </w:r>
      <w:r w:rsidRPr="00BE0480">
        <w:rPr>
          <w:rFonts w:hint="eastAsia"/>
          <w:sz w:val="24"/>
          <w:szCs w:val="24"/>
        </w:rPr>
        <w:t>21-</w:t>
      </w:r>
      <w:r w:rsidRPr="00BE0480">
        <w:rPr>
          <w:rFonts w:hint="eastAsia"/>
          <w:sz w:val="24"/>
          <w:szCs w:val="24"/>
        </w:rPr>
        <w:t>醋酸酯。</w:t>
      </w:r>
    </w:p>
    <w:p w:rsidR="0016610C" w:rsidRPr="00BE0480" w:rsidRDefault="0016610C" w:rsidP="0016610C">
      <w:pPr>
        <w:pStyle w:val="a3"/>
        <w:ind w:firstLineChars="177" w:firstLine="425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化学结构式：</w:t>
      </w:r>
    </w:p>
    <w:p w:rsidR="0016610C" w:rsidRPr="00BE0480" w:rsidRDefault="0016610C" w:rsidP="0016610C">
      <w:pPr>
        <w:pStyle w:val="a3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-43815</wp:posOffset>
            </wp:positionV>
            <wp:extent cx="2621280" cy="1676400"/>
            <wp:effectExtent l="0" t="0" r="762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1076585078"/>
      <w:bookmarkEnd w:id="1"/>
      <w:r w:rsidRPr="00BE0480">
        <w:rPr>
          <w:sz w:val="24"/>
          <w:szCs w:val="24"/>
        </w:rPr>
        <w:object w:dxaOrig="4320" w:dyaOrig="2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" o:spid="_x0000_i1025" type="#_x0000_t75" style="width:283pt;height:93.9pt;mso-position-horizontal-relative:page;mso-position-vertical-relative:page" o:ole="">
            <v:imagedata r:id="rId7" o:title=""/>
            <o:lock v:ext="edit" aspectratio="f"/>
          </v:shape>
          <o:OLEObject Type="Embed" ProgID="Word.Picture.8" ShapeID="对象 1" DrawAspect="Content" ObjectID="_1798271060" r:id="rId8"/>
        </w:object>
      </w:r>
    </w:p>
    <w:p w:rsidR="0016610C" w:rsidRPr="00BE0480" w:rsidRDefault="0016610C" w:rsidP="0016610C">
      <w:pPr>
        <w:pStyle w:val="a3"/>
        <w:rPr>
          <w:sz w:val="24"/>
          <w:szCs w:val="24"/>
        </w:rPr>
      </w:pPr>
    </w:p>
    <w:p w:rsidR="0016610C" w:rsidRDefault="0016610C" w:rsidP="0016610C">
      <w:pPr>
        <w:pStyle w:val="a3"/>
        <w:rPr>
          <w:sz w:val="24"/>
          <w:szCs w:val="24"/>
          <w:vertAlign w:val="subscript"/>
        </w:rPr>
      </w:pPr>
      <w:r w:rsidRPr="00BE0480">
        <w:rPr>
          <w:rFonts w:hint="eastAsia"/>
          <w:sz w:val="24"/>
          <w:szCs w:val="24"/>
        </w:rPr>
        <w:t>分子式：</w:t>
      </w:r>
      <w:r w:rsidRPr="00BE0480">
        <w:rPr>
          <w:rFonts w:hint="eastAsia"/>
          <w:sz w:val="24"/>
          <w:szCs w:val="24"/>
        </w:rPr>
        <w:t>C</w:t>
      </w:r>
      <w:r w:rsidRPr="00BE0480">
        <w:rPr>
          <w:rFonts w:hint="eastAsia"/>
          <w:sz w:val="24"/>
          <w:szCs w:val="24"/>
          <w:vertAlign w:val="subscript"/>
        </w:rPr>
        <w:t>23</w:t>
      </w:r>
      <w:r w:rsidRPr="00BE0480">
        <w:rPr>
          <w:rFonts w:hint="eastAsia"/>
          <w:sz w:val="24"/>
          <w:szCs w:val="24"/>
        </w:rPr>
        <w:t>H</w:t>
      </w:r>
      <w:r w:rsidRPr="00BE0480">
        <w:rPr>
          <w:rFonts w:hint="eastAsia"/>
          <w:sz w:val="24"/>
          <w:szCs w:val="24"/>
          <w:vertAlign w:val="subscript"/>
        </w:rPr>
        <w:t>28</w:t>
      </w:r>
      <w:r w:rsidRPr="00BE0480">
        <w:rPr>
          <w:rFonts w:hint="eastAsia"/>
          <w:sz w:val="24"/>
          <w:szCs w:val="24"/>
        </w:rPr>
        <w:t>O</w:t>
      </w:r>
      <w:r w:rsidRPr="00BE0480">
        <w:rPr>
          <w:rFonts w:hint="eastAsia"/>
          <w:sz w:val="24"/>
          <w:szCs w:val="24"/>
          <w:vertAlign w:val="subscript"/>
        </w:rPr>
        <w:t>6</w:t>
      </w:r>
    </w:p>
    <w:p w:rsidR="0016610C" w:rsidRPr="00BE0480" w:rsidRDefault="0016610C" w:rsidP="0016610C">
      <w:pPr>
        <w:pStyle w:val="a3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分子量：</w:t>
      </w:r>
      <w:r w:rsidRPr="00BE0480">
        <w:rPr>
          <w:rFonts w:hint="eastAsia"/>
          <w:sz w:val="24"/>
          <w:szCs w:val="24"/>
        </w:rPr>
        <w:t>400.47</w:t>
      </w:r>
    </w:p>
    <w:p w:rsidR="0016610C" w:rsidRPr="00C608F4" w:rsidRDefault="0016610C" w:rsidP="0016610C">
      <w:pPr>
        <w:pStyle w:val="a3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【性状】本品为白色片。</w:t>
      </w:r>
    </w:p>
    <w:p w:rsidR="0016610C" w:rsidRPr="00BE0480" w:rsidRDefault="0016610C" w:rsidP="0016610C">
      <w:pPr>
        <w:pStyle w:val="a3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【适应症】主要用于过敏性与自身免疫性炎症性疾病。适用于结缔组织病，系统性红斑狼疮，重症多肌炎，严重的支气管哮喘，皮肌炎，血管炎等过敏性疾病，急性白血病，恶性淋巴瘤。</w:t>
      </w:r>
    </w:p>
    <w:p w:rsidR="0016610C" w:rsidRPr="00BE0480" w:rsidRDefault="0016610C" w:rsidP="0016610C">
      <w:pPr>
        <w:pStyle w:val="a3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【规格】</w:t>
      </w:r>
      <w:r w:rsidRPr="00BE0480">
        <w:rPr>
          <w:rFonts w:hint="eastAsia"/>
          <w:sz w:val="24"/>
          <w:szCs w:val="24"/>
        </w:rPr>
        <w:t xml:space="preserve"> 5mg</w:t>
      </w:r>
    </w:p>
    <w:p w:rsidR="0016610C" w:rsidRPr="00BE0480" w:rsidRDefault="0016610C" w:rsidP="0016610C">
      <w:pPr>
        <w:pStyle w:val="a3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【用法用量】</w:t>
      </w:r>
      <w:r w:rsidRPr="00BE0480">
        <w:rPr>
          <w:rFonts w:hint="eastAsia"/>
          <w:sz w:val="24"/>
          <w:szCs w:val="24"/>
        </w:rPr>
        <w:t>1</w:t>
      </w:r>
      <w:r w:rsidRPr="00BE0480">
        <w:rPr>
          <w:rFonts w:hint="eastAsia"/>
          <w:sz w:val="24"/>
          <w:szCs w:val="24"/>
        </w:rPr>
        <w:t>．口服一般一次</w:t>
      </w:r>
      <w:r w:rsidRPr="00BE0480">
        <w:rPr>
          <w:rFonts w:hint="eastAsia"/>
          <w:sz w:val="24"/>
          <w:szCs w:val="24"/>
        </w:rPr>
        <w:t>5</w:t>
      </w:r>
      <w:r w:rsidRPr="00BE0480">
        <w:rPr>
          <w:rFonts w:hint="eastAsia"/>
          <w:sz w:val="24"/>
          <w:szCs w:val="24"/>
        </w:rPr>
        <w:t>～</w:t>
      </w:r>
      <w:r w:rsidRPr="00BE0480">
        <w:rPr>
          <w:rFonts w:hint="eastAsia"/>
          <w:sz w:val="24"/>
          <w:szCs w:val="24"/>
        </w:rPr>
        <w:t>10mg</w:t>
      </w:r>
      <w:r w:rsidRPr="00BE0480">
        <w:rPr>
          <w:rFonts w:hint="eastAsia"/>
          <w:sz w:val="24"/>
          <w:szCs w:val="24"/>
        </w:rPr>
        <w:t>（</w:t>
      </w:r>
      <w:r w:rsidRPr="00BE0480">
        <w:rPr>
          <w:rFonts w:hint="eastAsia"/>
          <w:sz w:val="24"/>
          <w:szCs w:val="24"/>
        </w:rPr>
        <w:t>1</w:t>
      </w:r>
      <w:r w:rsidRPr="00BE0480">
        <w:rPr>
          <w:rFonts w:hint="eastAsia"/>
          <w:sz w:val="24"/>
          <w:szCs w:val="24"/>
        </w:rPr>
        <w:t>～</w:t>
      </w:r>
      <w:r w:rsidRPr="00BE0480">
        <w:rPr>
          <w:rFonts w:hint="eastAsia"/>
          <w:sz w:val="24"/>
          <w:szCs w:val="24"/>
        </w:rPr>
        <w:t>2</w:t>
      </w:r>
      <w:r w:rsidRPr="00BE0480">
        <w:rPr>
          <w:rFonts w:hint="eastAsia"/>
          <w:sz w:val="24"/>
          <w:szCs w:val="24"/>
        </w:rPr>
        <w:t>片），一日</w:t>
      </w:r>
      <w:r w:rsidRPr="00BE0480">
        <w:rPr>
          <w:rFonts w:hint="eastAsia"/>
          <w:sz w:val="24"/>
          <w:szCs w:val="24"/>
        </w:rPr>
        <w:t>10</w:t>
      </w:r>
      <w:r w:rsidRPr="00BE0480">
        <w:rPr>
          <w:rFonts w:hint="eastAsia"/>
          <w:sz w:val="24"/>
          <w:szCs w:val="24"/>
        </w:rPr>
        <w:t>～</w:t>
      </w:r>
      <w:r w:rsidRPr="00BE0480">
        <w:rPr>
          <w:rFonts w:hint="eastAsia"/>
          <w:sz w:val="24"/>
          <w:szCs w:val="24"/>
        </w:rPr>
        <w:t>60mg</w:t>
      </w:r>
      <w:r w:rsidRPr="00BE0480">
        <w:rPr>
          <w:rFonts w:hint="eastAsia"/>
          <w:sz w:val="24"/>
          <w:szCs w:val="24"/>
        </w:rPr>
        <w:t>（</w:t>
      </w:r>
      <w:r w:rsidRPr="00BE0480">
        <w:rPr>
          <w:rFonts w:hint="eastAsia"/>
          <w:sz w:val="24"/>
          <w:szCs w:val="24"/>
        </w:rPr>
        <w:t>2</w:t>
      </w:r>
      <w:r w:rsidRPr="00BE0480">
        <w:rPr>
          <w:rFonts w:hint="eastAsia"/>
          <w:sz w:val="24"/>
          <w:szCs w:val="24"/>
        </w:rPr>
        <w:t>～</w:t>
      </w:r>
      <w:r w:rsidRPr="00BE0480">
        <w:rPr>
          <w:rFonts w:hint="eastAsia"/>
          <w:sz w:val="24"/>
          <w:szCs w:val="24"/>
        </w:rPr>
        <w:t>12</w:t>
      </w:r>
      <w:r w:rsidRPr="00BE0480">
        <w:rPr>
          <w:rFonts w:hint="eastAsia"/>
          <w:sz w:val="24"/>
          <w:szCs w:val="24"/>
        </w:rPr>
        <w:t>片）。</w:t>
      </w:r>
      <w:r w:rsidRPr="00BE0480">
        <w:rPr>
          <w:rFonts w:hint="eastAsia"/>
          <w:sz w:val="24"/>
          <w:szCs w:val="24"/>
        </w:rPr>
        <w:t>2</w:t>
      </w:r>
      <w:r w:rsidRPr="00BE0480">
        <w:rPr>
          <w:rFonts w:hint="eastAsia"/>
          <w:sz w:val="24"/>
          <w:szCs w:val="24"/>
        </w:rPr>
        <w:t>．对于系统性红斑狼疮、胃病综合征、溃疡性结肠炎、自身免疫性溶血性贫血等自身免疫性疾病，可给每日</w:t>
      </w:r>
      <w:r w:rsidRPr="00BE0480">
        <w:rPr>
          <w:rFonts w:hint="eastAsia"/>
          <w:sz w:val="24"/>
          <w:szCs w:val="24"/>
        </w:rPr>
        <w:t>40</w:t>
      </w:r>
      <w:r w:rsidRPr="00BE0480">
        <w:rPr>
          <w:rFonts w:hint="eastAsia"/>
          <w:sz w:val="24"/>
          <w:szCs w:val="24"/>
        </w:rPr>
        <w:t>～</w:t>
      </w:r>
      <w:r w:rsidRPr="00BE0480">
        <w:rPr>
          <w:rFonts w:hint="eastAsia"/>
          <w:sz w:val="24"/>
          <w:szCs w:val="24"/>
        </w:rPr>
        <w:t>60mg</w:t>
      </w:r>
      <w:r w:rsidRPr="00BE0480">
        <w:rPr>
          <w:rFonts w:hint="eastAsia"/>
          <w:sz w:val="24"/>
          <w:szCs w:val="24"/>
        </w:rPr>
        <w:t>，病情稳定后逐渐减量。</w:t>
      </w:r>
      <w:r w:rsidRPr="00BE0480">
        <w:rPr>
          <w:rFonts w:hint="eastAsia"/>
          <w:sz w:val="24"/>
          <w:szCs w:val="24"/>
        </w:rPr>
        <w:t>3</w:t>
      </w:r>
      <w:r w:rsidRPr="00BE0480">
        <w:rPr>
          <w:rFonts w:hint="eastAsia"/>
          <w:sz w:val="24"/>
          <w:szCs w:val="24"/>
        </w:rPr>
        <w:t>．对药物性皮炎、荨麻疹、支气管哮喘等过敏性疾病，可给泼尼松每日</w:t>
      </w:r>
      <w:r w:rsidRPr="00BE0480">
        <w:rPr>
          <w:rFonts w:hint="eastAsia"/>
          <w:sz w:val="24"/>
          <w:szCs w:val="24"/>
        </w:rPr>
        <w:t>20</w:t>
      </w:r>
      <w:r w:rsidRPr="00BE0480">
        <w:rPr>
          <w:rFonts w:hint="eastAsia"/>
          <w:sz w:val="24"/>
          <w:szCs w:val="24"/>
        </w:rPr>
        <w:t>～</w:t>
      </w:r>
      <w:r w:rsidRPr="00BE0480">
        <w:rPr>
          <w:rFonts w:hint="eastAsia"/>
          <w:sz w:val="24"/>
          <w:szCs w:val="24"/>
        </w:rPr>
        <w:t>40mg</w:t>
      </w:r>
      <w:r w:rsidRPr="00BE0480">
        <w:rPr>
          <w:rFonts w:hint="eastAsia"/>
          <w:sz w:val="24"/>
          <w:szCs w:val="24"/>
        </w:rPr>
        <w:t>，症状减轻后减量，每隔</w:t>
      </w:r>
      <w:r w:rsidRPr="00BE0480">
        <w:rPr>
          <w:rFonts w:hint="eastAsia"/>
          <w:sz w:val="24"/>
          <w:szCs w:val="24"/>
        </w:rPr>
        <w:t>1</w:t>
      </w:r>
      <w:r w:rsidRPr="00BE0480">
        <w:rPr>
          <w:rFonts w:hint="eastAsia"/>
          <w:sz w:val="24"/>
          <w:szCs w:val="24"/>
        </w:rPr>
        <w:t>～</w:t>
      </w:r>
      <w:r w:rsidRPr="00BE0480">
        <w:rPr>
          <w:rFonts w:hint="eastAsia"/>
          <w:sz w:val="24"/>
          <w:szCs w:val="24"/>
        </w:rPr>
        <w:t>2</w:t>
      </w:r>
      <w:r w:rsidRPr="00BE0480">
        <w:rPr>
          <w:rFonts w:hint="eastAsia"/>
          <w:sz w:val="24"/>
          <w:szCs w:val="24"/>
        </w:rPr>
        <w:t>日减少</w:t>
      </w:r>
      <w:r w:rsidRPr="00BE0480">
        <w:rPr>
          <w:rFonts w:hint="eastAsia"/>
          <w:sz w:val="24"/>
          <w:szCs w:val="24"/>
        </w:rPr>
        <w:t>5mg</w:t>
      </w:r>
      <w:r w:rsidRPr="00BE0480">
        <w:rPr>
          <w:rFonts w:hint="eastAsia"/>
          <w:sz w:val="24"/>
          <w:szCs w:val="24"/>
        </w:rPr>
        <w:t>。</w:t>
      </w:r>
      <w:r w:rsidRPr="00BE0480">
        <w:rPr>
          <w:rFonts w:hint="eastAsia"/>
          <w:sz w:val="24"/>
          <w:szCs w:val="24"/>
        </w:rPr>
        <w:t>4</w:t>
      </w:r>
      <w:r w:rsidRPr="00BE0480">
        <w:rPr>
          <w:rFonts w:hint="eastAsia"/>
          <w:sz w:val="24"/>
          <w:szCs w:val="24"/>
        </w:rPr>
        <w:t>．防止器官移植排异反应，一般在术前</w:t>
      </w:r>
      <w:r w:rsidRPr="00BE0480">
        <w:rPr>
          <w:rFonts w:hint="eastAsia"/>
          <w:sz w:val="24"/>
          <w:szCs w:val="24"/>
        </w:rPr>
        <w:t>1</w:t>
      </w:r>
      <w:r w:rsidRPr="00BE0480">
        <w:rPr>
          <w:rFonts w:hint="eastAsia"/>
          <w:sz w:val="24"/>
          <w:szCs w:val="24"/>
        </w:rPr>
        <w:t>～</w:t>
      </w:r>
      <w:r w:rsidRPr="00BE0480">
        <w:rPr>
          <w:rFonts w:hint="eastAsia"/>
          <w:sz w:val="24"/>
          <w:szCs w:val="24"/>
        </w:rPr>
        <w:t>2</w:t>
      </w:r>
      <w:r w:rsidRPr="00BE0480">
        <w:rPr>
          <w:rFonts w:hint="eastAsia"/>
          <w:sz w:val="24"/>
          <w:szCs w:val="24"/>
        </w:rPr>
        <w:t>天开始每日口服</w:t>
      </w:r>
      <w:r w:rsidRPr="00BE0480">
        <w:rPr>
          <w:rFonts w:hint="eastAsia"/>
          <w:sz w:val="24"/>
          <w:szCs w:val="24"/>
        </w:rPr>
        <w:t>100mg</w:t>
      </w:r>
      <w:r w:rsidRPr="00BE0480">
        <w:rPr>
          <w:rFonts w:hint="eastAsia"/>
          <w:sz w:val="24"/>
          <w:szCs w:val="24"/>
        </w:rPr>
        <w:t>，术后一周改为每日</w:t>
      </w:r>
      <w:r w:rsidRPr="00BE0480">
        <w:rPr>
          <w:rFonts w:hint="eastAsia"/>
          <w:sz w:val="24"/>
          <w:szCs w:val="24"/>
        </w:rPr>
        <w:t>60mg</w:t>
      </w:r>
      <w:r w:rsidRPr="00BE0480">
        <w:rPr>
          <w:rFonts w:hint="eastAsia"/>
          <w:sz w:val="24"/>
          <w:szCs w:val="24"/>
        </w:rPr>
        <w:t>，以后逐渐减量。</w:t>
      </w:r>
      <w:r w:rsidRPr="00BE0480">
        <w:rPr>
          <w:rFonts w:hint="eastAsia"/>
          <w:sz w:val="24"/>
          <w:szCs w:val="24"/>
        </w:rPr>
        <w:t>5</w:t>
      </w:r>
      <w:r w:rsidRPr="00BE0480">
        <w:rPr>
          <w:rFonts w:hint="eastAsia"/>
          <w:sz w:val="24"/>
          <w:szCs w:val="24"/>
        </w:rPr>
        <w:t>．治疗急性白血病、恶性肿瘤，每日口服</w:t>
      </w:r>
      <w:r w:rsidRPr="00BE0480">
        <w:rPr>
          <w:rFonts w:hint="eastAsia"/>
          <w:sz w:val="24"/>
          <w:szCs w:val="24"/>
        </w:rPr>
        <w:t>60</w:t>
      </w:r>
      <w:r w:rsidRPr="00BE0480">
        <w:rPr>
          <w:rFonts w:hint="eastAsia"/>
          <w:sz w:val="24"/>
          <w:szCs w:val="24"/>
        </w:rPr>
        <w:t>～</w:t>
      </w:r>
      <w:r w:rsidRPr="00BE0480">
        <w:rPr>
          <w:rFonts w:hint="eastAsia"/>
          <w:sz w:val="24"/>
          <w:szCs w:val="24"/>
        </w:rPr>
        <w:t>80mg</w:t>
      </w:r>
      <w:r w:rsidRPr="00BE0480">
        <w:rPr>
          <w:rFonts w:hint="eastAsia"/>
          <w:sz w:val="24"/>
          <w:szCs w:val="24"/>
        </w:rPr>
        <w:t>，症状缓解后减量。</w:t>
      </w:r>
    </w:p>
    <w:p w:rsidR="0016610C" w:rsidRPr="00BE0480" w:rsidRDefault="0016610C" w:rsidP="0016610C">
      <w:pPr>
        <w:pStyle w:val="a3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【不良反应】本品较大剂量易引起糖尿病、消化道溃疡和类柯兴综合征症状，对下丘脑</w:t>
      </w:r>
      <w:r w:rsidRPr="00BE0480">
        <w:rPr>
          <w:rFonts w:hint="eastAsia"/>
          <w:sz w:val="24"/>
          <w:szCs w:val="24"/>
        </w:rPr>
        <w:t>-</w:t>
      </w:r>
      <w:r w:rsidRPr="00BE0480">
        <w:rPr>
          <w:rFonts w:hint="eastAsia"/>
          <w:sz w:val="24"/>
          <w:szCs w:val="24"/>
        </w:rPr>
        <w:t>垂体</w:t>
      </w:r>
      <w:r w:rsidRPr="00BE0480">
        <w:rPr>
          <w:rFonts w:hint="eastAsia"/>
          <w:sz w:val="24"/>
          <w:szCs w:val="24"/>
        </w:rPr>
        <w:t>-</w:t>
      </w:r>
      <w:r w:rsidRPr="00BE0480">
        <w:rPr>
          <w:rFonts w:hint="eastAsia"/>
          <w:sz w:val="24"/>
          <w:szCs w:val="24"/>
        </w:rPr>
        <w:t>肾上腺轴抑制作用较强。并发感染为主要的不良反应。</w:t>
      </w:r>
    </w:p>
    <w:p w:rsidR="0016610C" w:rsidRPr="00BE0480" w:rsidRDefault="0016610C" w:rsidP="0016610C">
      <w:pPr>
        <w:pStyle w:val="a3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【禁忌】高血压、血栓症、胃与十二指肠溃疡、精神病、电解质代谢异常、心肌梗死、内脏手术、青光眼等患者不宜使用，对本品及肾上腺皮质激素类药物有过敏史患者禁用，真菌和病毒感染者禁用。</w:t>
      </w:r>
    </w:p>
    <w:p w:rsidR="0016610C" w:rsidRPr="00D7419D" w:rsidRDefault="0016610C" w:rsidP="0016610C">
      <w:pPr>
        <w:pStyle w:val="a3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【注意事项】</w:t>
      </w:r>
      <w:r w:rsidRPr="00BE0480">
        <w:rPr>
          <w:rFonts w:hint="eastAsia"/>
          <w:sz w:val="24"/>
          <w:szCs w:val="24"/>
        </w:rPr>
        <w:t xml:space="preserve"> 1</w:t>
      </w:r>
      <w:r w:rsidRPr="00BE0480">
        <w:rPr>
          <w:rFonts w:hint="eastAsia"/>
          <w:sz w:val="24"/>
          <w:szCs w:val="24"/>
        </w:rPr>
        <w:t>．结核病、急性细菌性或病毒性感染患者应用时，必须给予适当的抗感染治疗。</w:t>
      </w:r>
      <w:r w:rsidRPr="00BE0480">
        <w:rPr>
          <w:rFonts w:hint="eastAsia"/>
          <w:sz w:val="24"/>
          <w:szCs w:val="24"/>
        </w:rPr>
        <w:t>2</w:t>
      </w:r>
      <w:r w:rsidRPr="00BE0480">
        <w:rPr>
          <w:rFonts w:hint="eastAsia"/>
          <w:sz w:val="24"/>
          <w:szCs w:val="24"/>
        </w:rPr>
        <w:t>．长期服药后，停药时应逐渐减量。</w:t>
      </w:r>
      <w:r w:rsidRPr="00BE0480">
        <w:rPr>
          <w:rFonts w:hint="eastAsia"/>
          <w:sz w:val="24"/>
          <w:szCs w:val="24"/>
        </w:rPr>
        <w:t>3</w:t>
      </w:r>
      <w:r w:rsidRPr="00BE0480">
        <w:rPr>
          <w:rFonts w:hint="eastAsia"/>
          <w:sz w:val="24"/>
          <w:szCs w:val="24"/>
        </w:rPr>
        <w:t>．糖尿病、骨质疏松</w:t>
      </w:r>
      <w:r w:rsidRPr="00BE0480">
        <w:rPr>
          <w:rFonts w:hint="eastAsia"/>
          <w:sz w:val="24"/>
          <w:szCs w:val="24"/>
        </w:rPr>
        <w:lastRenderedPageBreak/>
        <w:t>症、肝硬化、肾功能不良、甲状腺</w:t>
      </w:r>
      <w:r w:rsidRPr="00D7419D">
        <w:rPr>
          <w:rFonts w:hint="eastAsia"/>
          <w:sz w:val="24"/>
          <w:szCs w:val="24"/>
        </w:rPr>
        <w:t>功能低下患者慎用</w:t>
      </w:r>
      <w:r w:rsidRPr="00D7419D">
        <w:rPr>
          <w:rFonts w:ascii="宋体" w:hAnsi="宋体" w:hint="eastAsia"/>
          <w:sz w:val="24"/>
          <w:szCs w:val="24"/>
        </w:rPr>
        <w:t>。4.运动员慎用。</w:t>
      </w:r>
    </w:p>
    <w:p w:rsidR="0016610C" w:rsidRPr="00BE0480" w:rsidRDefault="0016610C" w:rsidP="0016610C">
      <w:pPr>
        <w:pStyle w:val="a3"/>
        <w:rPr>
          <w:sz w:val="24"/>
          <w:szCs w:val="24"/>
        </w:rPr>
      </w:pPr>
      <w:r w:rsidRPr="00D7419D">
        <w:rPr>
          <w:rFonts w:hint="eastAsia"/>
          <w:sz w:val="24"/>
          <w:szCs w:val="24"/>
        </w:rPr>
        <w:t>【孕妇及哺乳期妇女用药】妊娠期妇女使用可增加胎盘功能不全、新生儿体重</w:t>
      </w:r>
      <w:r w:rsidRPr="00BE0480">
        <w:rPr>
          <w:rFonts w:hint="eastAsia"/>
          <w:sz w:val="24"/>
          <w:szCs w:val="24"/>
        </w:rPr>
        <w:t>减少或死胎的发生率，动物试验有致畸作用，应权衡利弊使用。乳母接受大剂量给药，则不应哺乳，防止药物经乳汁排泄，造成婴儿生长抑制、肾上腺功能抑制等不良反应。</w:t>
      </w:r>
    </w:p>
    <w:p w:rsidR="0016610C" w:rsidRPr="00BE0480" w:rsidRDefault="0016610C" w:rsidP="0016610C">
      <w:pPr>
        <w:pStyle w:val="a3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儿童用药】小儿如长期使用肾上腺皮质激素，须十分慎重，因激素可抑制患儿的生长和发育，如却有必要长期使用，应采用短效（如可的松）或中效制剂（如泼尼松），避免使用长效制剂（如地塞米松）。口服中效制剂隔日疗法可减轻对生长的抑制作用。儿童或少年患者长程使用糖皮质激素必须密切观察，患儿发生骨质疏松症、股骨头缺血性坏死、青光眼、白内障的危险性都增加。儿童使用激素的剂量除了一般的按年龄和体重而定外，更应该按疾病的严重程度和患儿对治疗的反应而定。对于有肾上腺皮质功能减退患儿的治疗，其激素的用量应根据体表面积而定，如果按体重而</w:t>
      </w:r>
      <w:proofErr w:type="gramStart"/>
      <w:r w:rsidRPr="00BE0480">
        <w:rPr>
          <w:rFonts w:hint="eastAsia"/>
          <w:sz w:val="24"/>
          <w:szCs w:val="24"/>
        </w:rPr>
        <w:t>定则易</w:t>
      </w:r>
      <w:proofErr w:type="gramEnd"/>
      <w:r w:rsidRPr="00BE0480">
        <w:rPr>
          <w:rFonts w:hint="eastAsia"/>
          <w:sz w:val="24"/>
          <w:szCs w:val="24"/>
        </w:rPr>
        <w:t>发生过量，尤其是婴幼儿和矮小或肥胖的患儿。</w:t>
      </w:r>
    </w:p>
    <w:p w:rsidR="0016610C" w:rsidRPr="00BE0480" w:rsidRDefault="0016610C" w:rsidP="0016610C">
      <w:pPr>
        <w:pStyle w:val="a3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【老年用药】用糖皮质激素易产生高血压，老年患者尤其是更年期后的女性使用易发生骨质疏松。</w:t>
      </w:r>
    </w:p>
    <w:p w:rsidR="0016610C" w:rsidRPr="00BE0480" w:rsidRDefault="0016610C" w:rsidP="0016610C">
      <w:pPr>
        <w:pStyle w:val="a3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【药物相互作用】</w:t>
      </w:r>
      <w:r w:rsidRPr="00BE0480">
        <w:rPr>
          <w:rFonts w:hint="eastAsia"/>
          <w:sz w:val="24"/>
          <w:szCs w:val="24"/>
        </w:rPr>
        <w:t xml:space="preserve"> </w:t>
      </w:r>
      <w:r w:rsidRPr="00BE0480">
        <w:rPr>
          <w:rFonts w:hint="eastAsia"/>
          <w:sz w:val="24"/>
          <w:szCs w:val="24"/>
        </w:rPr>
        <w:t>（</w:t>
      </w:r>
      <w:r w:rsidRPr="00BE0480">
        <w:rPr>
          <w:rFonts w:hint="eastAsia"/>
          <w:sz w:val="24"/>
          <w:szCs w:val="24"/>
        </w:rPr>
        <w:t>1</w:t>
      </w:r>
      <w:r w:rsidRPr="00BE0480">
        <w:rPr>
          <w:rFonts w:hint="eastAsia"/>
          <w:sz w:val="24"/>
          <w:szCs w:val="24"/>
        </w:rPr>
        <w:t>）非</w:t>
      </w:r>
      <w:proofErr w:type="gramStart"/>
      <w:r w:rsidRPr="00BE0480">
        <w:rPr>
          <w:rFonts w:hint="eastAsia"/>
          <w:sz w:val="24"/>
          <w:szCs w:val="24"/>
        </w:rPr>
        <w:t>甾</w:t>
      </w:r>
      <w:proofErr w:type="gramEnd"/>
      <w:r w:rsidRPr="00BE0480">
        <w:rPr>
          <w:rFonts w:hint="eastAsia"/>
          <w:sz w:val="24"/>
          <w:szCs w:val="24"/>
        </w:rPr>
        <w:t>体消炎镇痛药可加强其致溃疡作用。（</w:t>
      </w:r>
      <w:r w:rsidRPr="00BE0480">
        <w:rPr>
          <w:rFonts w:hint="eastAsia"/>
          <w:sz w:val="24"/>
          <w:szCs w:val="24"/>
        </w:rPr>
        <w:t>2</w:t>
      </w:r>
      <w:r w:rsidRPr="00BE0480">
        <w:rPr>
          <w:rFonts w:hint="eastAsia"/>
          <w:sz w:val="24"/>
          <w:szCs w:val="24"/>
        </w:rPr>
        <w:t>）可增强对乙酰氨基</w:t>
      </w:r>
      <w:proofErr w:type="gramStart"/>
      <w:r w:rsidRPr="00BE0480">
        <w:rPr>
          <w:rFonts w:hint="eastAsia"/>
          <w:sz w:val="24"/>
          <w:szCs w:val="24"/>
        </w:rPr>
        <w:t>酚</w:t>
      </w:r>
      <w:proofErr w:type="gramEnd"/>
      <w:r w:rsidRPr="00BE0480">
        <w:rPr>
          <w:rFonts w:hint="eastAsia"/>
          <w:sz w:val="24"/>
          <w:szCs w:val="24"/>
        </w:rPr>
        <w:t>的肝毒性。（</w:t>
      </w:r>
      <w:r w:rsidRPr="00BE0480">
        <w:rPr>
          <w:rFonts w:hint="eastAsia"/>
          <w:sz w:val="24"/>
          <w:szCs w:val="24"/>
        </w:rPr>
        <w:t>3</w:t>
      </w:r>
      <w:r w:rsidRPr="00BE0480">
        <w:rPr>
          <w:rFonts w:hint="eastAsia"/>
          <w:sz w:val="24"/>
          <w:szCs w:val="24"/>
        </w:rPr>
        <w:t>）与两性霉素</w:t>
      </w:r>
      <w:r w:rsidRPr="00BE0480">
        <w:rPr>
          <w:rFonts w:hint="eastAsia"/>
          <w:sz w:val="24"/>
          <w:szCs w:val="24"/>
        </w:rPr>
        <w:t>B</w:t>
      </w:r>
      <w:r w:rsidRPr="00BE0480">
        <w:rPr>
          <w:rFonts w:hint="eastAsia"/>
          <w:sz w:val="24"/>
          <w:szCs w:val="24"/>
        </w:rPr>
        <w:t>或碳酸酐酶抑制剂合用，可加重低钾血症，长期与碳酸酐酶抑制</w:t>
      </w:r>
      <w:r w:rsidRPr="00BE0480">
        <w:rPr>
          <w:rFonts w:ascii="宋体" w:hAnsi="宋体" w:hint="eastAsia"/>
          <w:sz w:val="24"/>
          <w:szCs w:val="24"/>
        </w:rPr>
        <w:t>剂合用，易发生低血钙和骨质疏松。</w:t>
      </w:r>
      <w:r w:rsidRPr="00BE0480">
        <w:rPr>
          <w:rFonts w:hint="eastAsia"/>
          <w:sz w:val="24"/>
          <w:szCs w:val="24"/>
        </w:rPr>
        <w:t>（</w:t>
      </w:r>
      <w:r w:rsidRPr="00BE0480">
        <w:rPr>
          <w:rFonts w:hint="eastAsia"/>
          <w:sz w:val="24"/>
          <w:szCs w:val="24"/>
        </w:rPr>
        <w:t>4</w:t>
      </w:r>
      <w:r w:rsidRPr="00BE0480">
        <w:rPr>
          <w:rFonts w:hint="eastAsia"/>
          <w:sz w:val="24"/>
          <w:szCs w:val="24"/>
        </w:rPr>
        <w:t>）与蛋白质同化激素合用，可增加水肿的发生率，使痤疮加重。（</w:t>
      </w:r>
      <w:r w:rsidRPr="00BE0480">
        <w:rPr>
          <w:rFonts w:hint="eastAsia"/>
          <w:sz w:val="24"/>
          <w:szCs w:val="24"/>
        </w:rPr>
        <w:t>5</w:t>
      </w:r>
      <w:r w:rsidRPr="00BE0480">
        <w:rPr>
          <w:rFonts w:hint="eastAsia"/>
          <w:sz w:val="24"/>
          <w:szCs w:val="24"/>
        </w:rPr>
        <w:t>）与抗胆碱能药（如阿托品）长期合用，可致眼压增高。（</w:t>
      </w:r>
      <w:r w:rsidRPr="00BE0480">
        <w:rPr>
          <w:rFonts w:hint="eastAsia"/>
          <w:sz w:val="24"/>
          <w:szCs w:val="24"/>
        </w:rPr>
        <w:t>6</w:t>
      </w:r>
      <w:r w:rsidRPr="00BE0480">
        <w:rPr>
          <w:rFonts w:hint="eastAsia"/>
          <w:sz w:val="24"/>
          <w:szCs w:val="24"/>
        </w:rPr>
        <w:t>）三环类抗抑郁药可使其引起的精神症状加重。（</w:t>
      </w:r>
      <w:r w:rsidRPr="00BE0480">
        <w:rPr>
          <w:rFonts w:hint="eastAsia"/>
          <w:sz w:val="24"/>
          <w:szCs w:val="24"/>
        </w:rPr>
        <w:t>7</w:t>
      </w:r>
      <w:r w:rsidRPr="00BE0480">
        <w:rPr>
          <w:rFonts w:hint="eastAsia"/>
          <w:sz w:val="24"/>
          <w:szCs w:val="24"/>
        </w:rPr>
        <w:t>）与降糖药如胰岛素合用时，因可使糖尿病患者血糖升高，应适当调整降糖药剂量。（</w:t>
      </w:r>
      <w:r w:rsidRPr="00BE0480">
        <w:rPr>
          <w:rFonts w:hint="eastAsia"/>
          <w:sz w:val="24"/>
          <w:szCs w:val="24"/>
        </w:rPr>
        <w:t>8</w:t>
      </w:r>
      <w:r w:rsidRPr="00BE0480">
        <w:rPr>
          <w:rFonts w:hint="eastAsia"/>
          <w:sz w:val="24"/>
          <w:szCs w:val="24"/>
        </w:rPr>
        <w:t>）</w:t>
      </w:r>
      <w:r w:rsidRPr="00BE0480">
        <w:rPr>
          <w:rFonts w:hint="eastAsia"/>
          <w:spacing w:val="4"/>
          <w:sz w:val="24"/>
          <w:szCs w:val="24"/>
        </w:rPr>
        <w:t>甲状腺激素可使其代谢清除率增加，故甲状腺激素或抗甲状腺药与其合用</w:t>
      </w:r>
      <w:r w:rsidRPr="00BE0480">
        <w:rPr>
          <w:rFonts w:hint="eastAsia"/>
          <w:spacing w:val="4"/>
          <w:sz w:val="24"/>
          <w:szCs w:val="24"/>
        </w:rPr>
        <w:t>,</w:t>
      </w:r>
      <w:r w:rsidRPr="00BE0480">
        <w:rPr>
          <w:rFonts w:hint="eastAsia"/>
          <w:spacing w:val="4"/>
          <w:sz w:val="24"/>
          <w:szCs w:val="24"/>
        </w:rPr>
        <w:t>应适当调整后者的剂量。</w:t>
      </w:r>
      <w:r w:rsidRPr="00BE0480">
        <w:rPr>
          <w:rFonts w:hint="eastAsia"/>
          <w:sz w:val="24"/>
          <w:szCs w:val="24"/>
        </w:rPr>
        <w:t>（</w:t>
      </w:r>
      <w:r w:rsidRPr="00BE0480">
        <w:rPr>
          <w:rFonts w:hint="eastAsia"/>
          <w:sz w:val="24"/>
          <w:szCs w:val="24"/>
        </w:rPr>
        <w:t>9</w:t>
      </w:r>
      <w:r w:rsidRPr="00BE0480">
        <w:rPr>
          <w:rFonts w:hint="eastAsia"/>
          <w:sz w:val="24"/>
          <w:szCs w:val="24"/>
        </w:rPr>
        <w:t>）与避孕药或雌激素制剂合用，可加强其的治疗作用和不良反应。（</w:t>
      </w:r>
      <w:r w:rsidRPr="00BE0480">
        <w:rPr>
          <w:rFonts w:hint="eastAsia"/>
          <w:sz w:val="24"/>
          <w:szCs w:val="24"/>
        </w:rPr>
        <w:t>10</w:t>
      </w:r>
      <w:r w:rsidRPr="00BE0480">
        <w:rPr>
          <w:rFonts w:hint="eastAsia"/>
          <w:sz w:val="24"/>
          <w:szCs w:val="24"/>
        </w:rPr>
        <w:t>）与强心苷合用，可增加洋地黄毒性及心律紊乱的发生。（</w:t>
      </w:r>
      <w:r w:rsidRPr="00BE0480">
        <w:rPr>
          <w:rFonts w:hint="eastAsia"/>
          <w:sz w:val="24"/>
          <w:szCs w:val="24"/>
        </w:rPr>
        <w:t>11</w:t>
      </w:r>
      <w:r w:rsidRPr="00BE0480">
        <w:rPr>
          <w:rFonts w:hint="eastAsia"/>
          <w:sz w:val="24"/>
          <w:szCs w:val="24"/>
        </w:rPr>
        <w:t>）与排钾利尿药合用，可致严重低钾血，并由于水钠潴留而减弱利尿药的排钠利尿效应。（</w:t>
      </w:r>
      <w:r w:rsidRPr="00BE0480">
        <w:rPr>
          <w:rFonts w:hint="eastAsia"/>
          <w:sz w:val="24"/>
          <w:szCs w:val="24"/>
        </w:rPr>
        <w:t>12</w:t>
      </w:r>
      <w:r w:rsidRPr="00BE0480">
        <w:rPr>
          <w:rFonts w:hint="eastAsia"/>
          <w:sz w:val="24"/>
          <w:szCs w:val="24"/>
        </w:rPr>
        <w:t>）与麻黄碱合用，可增强其代谢清除。（</w:t>
      </w:r>
      <w:r w:rsidRPr="00BE0480">
        <w:rPr>
          <w:rFonts w:hint="eastAsia"/>
          <w:sz w:val="24"/>
          <w:szCs w:val="24"/>
        </w:rPr>
        <w:t>13</w:t>
      </w:r>
      <w:r w:rsidRPr="00BE0480">
        <w:rPr>
          <w:rFonts w:hint="eastAsia"/>
          <w:sz w:val="24"/>
          <w:szCs w:val="24"/>
        </w:rPr>
        <w:t>）与免疫抑制剂合用，可增加感染的危险性，并可能诱发淋巴瘤或其他淋巴细胞增生性疾病。（</w:t>
      </w:r>
      <w:r w:rsidRPr="00BE0480">
        <w:rPr>
          <w:rFonts w:hint="eastAsia"/>
          <w:sz w:val="24"/>
          <w:szCs w:val="24"/>
        </w:rPr>
        <w:t>14</w:t>
      </w:r>
      <w:r w:rsidRPr="00BE0480">
        <w:rPr>
          <w:rFonts w:hint="eastAsia"/>
          <w:sz w:val="24"/>
          <w:szCs w:val="24"/>
        </w:rPr>
        <w:t>）可增加异烟肼在肝脏代谢和排泄，降低异烟肼的血药浓度和疗效。（</w:t>
      </w:r>
      <w:r w:rsidRPr="00BE0480">
        <w:rPr>
          <w:rFonts w:hint="eastAsia"/>
          <w:sz w:val="24"/>
          <w:szCs w:val="24"/>
        </w:rPr>
        <w:t>15</w:t>
      </w:r>
      <w:r w:rsidRPr="00BE0480">
        <w:rPr>
          <w:rFonts w:hint="eastAsia"/>
          <w:sz w:val="24"/>
          <w:szCs w:val="24"/>
        </w:rPr>
        <w:t>）可</w:t>
      </w:r>
      <w:proofErr w:type="gramStart"/>
      <w:r w:rsidRPr="00BE0480">
        <w:rPr>
          <w:rFonts w:hint="eastAsia"/>
          <w:sz w:val="24"/>
          <w:szCs w:val="24"/>
        </w:rPr>
        <w:t>促进美</w:t>
      </w:r>
      <w:proofErr w:type="gramEnd"/>
      <w:r w:rsidRPr="00BE0480">
        <w:rPr>
          <w:rFonts w:hint="eastAsia"/>
          <w:sz w:val="24"/>
          <w:szCs w:val="24"/>
        </w:rPr>
        <w:t>西律在体内代谢，降低血药浓度。（</w:t>
      </w:r>
      <w:r w:rsidRPr="00BE0480">
        <w:rPr>
          <w:rFonts w:hint="eastAsia"/>
          <w:sz w:val="24"/>
          <w:szCs w:val="24"/>
        </w:rPr>
        <w:t>16</w:t>
      </w:r>
      <w:r w:rsidRPr="00BE0480">
        <w:rPr>
          <w:rFonts w:hint="eastAsia"/>
          <w:sz w:val="24"/>
          <w:szCs w:val="24"/>
        </w:rPr>
        <w:t>）与水杨酸盐合用，可减少血浆水杨酸盐的浓度。（</w:t>
      </w:r>
      <w:r w:rsidRPr="00BE0480">
        <w:rPr>
          <w:rFonts w:hint="eastAsia"/>
          <w:sz w:val="24"/>
          <w:szCs w:val="24"/>
        </w:rPr>
        <w:t>17</w:t>
      </w:r>
      <w:r w:rsidRPr="00BE0480">
        <w:rPr>
          <w:rFonts w:hint="eastAsia"/>
          <w:sz w:val="24"/>
          <w:szCs w:val="24"/>
        </w:rPr>
        <w:t>）与生长激素合用，可抑制后者的促生长作用。</w:t>
      </w:r>
    </w:p>
    <w:p w:rsidR="0016610C" w:rsidRPr="00BE0480" w:rsidRDefault="0016610C" w:rsidP="0016610C">
      <w:pPr>
        <w:pStyle w:val="a3"/>
        <w:ind w:firstLineChars="177" w:firstLine="425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【药物过量】尚不明确。</w:t>
      </w:r>
    </w:p>
    <w:p w:rsidR="0016610C" w:rsidRPr="00BE0480" w:rsidRDefault="0016610C" w:rsidP="0016610C">
      <w:pPr>
        <w:pStyle w:val="a3"/>
        <w:ind w:firstLineChars="177" w:firstLine="425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【药理毒理】</w:t>
      </w:r>
      <w:r w:rsidRPr="00BE0480">
        <w:rPr>
          <w:rFonts w:hint="eastAsia"/>
          <w:b/>
          <w:sz w:val="24"/>
          <w:szCs w:val="24"/>
        </w:rPr>
        <w:t xml:space="preserve"> </w:t>
      </w:r>
      <w:r w:rsidRPr="00BE0480">
        <w:rPr>
          <w:rFonts w:hint="eastAsia"/>
          <w:sz w:val="24"/>
          <w:szCs w:val="24"/>
        </w:rPr>
        <w:t>肾上腺皮质激素类药，具有抗炎、抗过敏、抗风湿、免疫抑制作用，作用机理为：</w:t>
      </w:r>
      <w:r w:rsidRPr="00BE0480">
        <w:rPr>
          <w:rFonts w:hint="eastAsia"/>
          <w:sz w:val="24"/>
          <w:szCs w:val="24"/>
        </w:rPr>
        <w:t>1</w:t>
      </w:r>
      <w:r w:rsidRPr="00BE0480">
        <w:rPr>
          <w:rFonts w:hint="eastAsia"/>
          <w:sz w:val="24"/>
          <w:szCs w:val="24"/>
        </w:rPr>
        <w:t>．抗炎作用：本产品可减轻和防止组织对炎症的反应，从而减轻炎症的表现。激素抑制炎症细胞，包括巨噬细胞和白细胞在炎症部位的集聚，并抑制吞噬作用、溶酶体酶的释放以及炎症化学中介物的合成和释放。</w:t>
      </w:r>
      <w:r w:rsidRPr="00BE0480">
        <w:rPr>
          <w:rFonts w:hint="eastAsia"/>
          <w:sz w:val="24"/>
          <w:szCs w:val="24"/>
        </w:rPr>
        <w:t>2</w:t>
      </w:r>
      <w:r w:rsidRPr="00BE0480">
        <w:rPr>
          <w:rFonts w:hint="eastAsia"/>
          <w:sz w:val="24"/>
          <w:szCs w:val="24"/>
        </w:rPr>
        <w:t>．免疫抑制作用：包括防止或抑制细胞</w:t>
      </w:r>
      <w:proofErr w:type="gramStart"/>
      <w:r w:rsidRPr="00BE0480">
        <w:rPr>
          <w:rFonts w:hint="eastAsia"/>
          <w:sz w:val="24"/>
          <w:szCs w:val="24"/>
        </w:rPr>
        <w:t>介</w:t>
      </w:r>
      <w:proofErr w:type="gramEnd"/>
      <w:r w:rsidRPr="00BE0480">
        <w:rPr>
          <w:rFonts w:hint="eastAsia"/>
          <w:sz w:val="24"/>
          <w:szCs w:val="24"/>
        </w:rPr>
        <w:t>导的免疫反应，延迟性的过敏反应，减少</w:t>
      </w:r>
      <w:r w:rsidRPr="00BE0480">
        <w:rPr>
          <w:rFonts w:hint="eastAsia"/>
          <w:sz w:val="24"/>
          <w:szCs w:val="24"/>
        </w:rPr>
        <w:t>T</w:t>
      </w:r>
      <w:r w:rsidRPr="00BE0480">
        <w:rPr>
          <w:rFonts w:hint="eastAsia"/>
          <w:sz w:val="24"/>
          <w:szCs w:val="24"/>
        </w:rPr>
        <w:t>淋巴细胞、单核细胞、嗜酸性细胞的数目，降低免疫球蛋白与细胞表面受体的结合能力，并抑制白介素的合成与释放，从而降低</w:t>
      </w:r>
      <w:r w:rsidRPr="00BE0480">
        <w:rPr>
          <w:rFonts w:hint="eastAsia"/>
          <w:sz w:val="24"/>
          <w:szCs w:val="24"/>
        </w:rPr>
        <w:t>T</w:t>
      </w:r>
      <w:r w:rsidRPr="00BE0480">
        <w:rPr>
          <w:rFonts w:hint="eastAsia"/>
          <w:sz w:val="24"/>
          <w:szCs w:val="24"/>
        </w:rPr>
        <w:t>淋巴细胞向淋巴母细胞转化，并减轻原发免疫反应的扩展。可降低免疫复合物通过基底膜，并能减少补体成分及免疫球蛋白的浓度。</w:t>
      </w:r>
    </w:p>
    <w:p w:rsidR="0016610C" w:rsidRPr="00BE0480" w:rsidRDefault="0016610C" w:rsidP="0016610C">
      <w:pPr>
        <w:pStyle w:val="a3"/>
        <w:ind w:firstLineChars="177" w:firstLine="425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【药代动力学】本品须在肝内将</w:t>
      </w:r>
      <w:proofErr w:type="gramStart"/>
      <w:r w:rsidRPr="00BE0480">
        <w:rPr>
          <w:rFonts w:hint="eastAsia"/>
          <w:sz w:val="24"/>
          <w:szCs w:val="24"/>
        </w:rPr>
        <w:t>11</w:t>
      </w:r>
      <w:r w:rsidRPr="00BE0480">
        <w:rPr>
          <w:rFonts w:hint="eastAsia"/>
          <w:sz w:val="24"/>
          <w:szCs w:val="24"/>
        </w:rPr>
        <w:t>位酮基还原</w:t>
      </w:r>
      <w:proofErr w:type="gramEnd"/>
      <w:r w:rsidRPr="00BE0480">
        <w:rPr>
          <w:rFonts w:hint="eastAsia"/>
          <w:sz w:val="24"/>
          <w:szCs w:val="24"/>
        </w:rPr>
        <w:t>为</w:t>
      </w:r>
      <w:r w:rsidRPr="00BE0480">
        <w:rPr>
          <w:rFonts w:hint="eastAsia"/>
          <w:sz w:val="24"/>
          <w:szCs w:val="24"/>
        </w:rPr>
        <w:t>11</w:t>
      </w:r>
      <w:r w:rsidRPr="00BE0480">
        <w:rPr>
          <w:rFonts w:hint="eastAsia"/>
          <w:sz w:val="24"/>
          <w:szCs w:val="24"/>
        </w:rPr>
        <w:t>位羟基后显药理活性，生理半衰期为</w:t>
      </w:r>
      <w:r w:rsidRPr="00BE0480">
        <w:rPr>
          <w:rFonts w:hint="eastAsia"/>
          <w:sz w:val="24"/>
          <w:szCs w:val="24"/>
        </w:rPr>
        <w:t>60</w:t>
      </w:r>
      <w:r w:rsidRPr="00BE0480">
        <w:rPr>
          <w:rFonts w:hint="eastAsia"/>
          <w:sz w:val="24"/>
          <w:szCs w:val="24"/>
        </w:rPr>
        <w:t>分钟。体内分布以肝中含量最高，依次为血浆、脑脊液、胸水、腹水、肾，在血中本品大部分与血浆蛋白结合，游离的和结合型的代谢物自尿中排出，部分以原形排出，小部分可经乳汁排出。</w:t>
      </w:r>
    </w:p>
    <w:p w:rsidR="0016610C" w:rsidRPr="00BE0480" w:rsidRDefault="0016610C" w:rsidP="0016610C">
      <w:pPr>
        <w:pStyle w:val="a3"/>
        <w:ind w:firstLineChars="177" w:firstLine="425"/>
        <w:rPr>
          <w:sz w:val="24"/>
          <w:szCs w:val="24"/>
        </w:rPr>
      </w:pPr>
      <w:r w:rsidRPr="00BE0480">
        <w:rPr>
          <w:rFonts w:hint="eastAsia"/>
          <w:sz w:val="24"/>
          <w:szCs w:val="24"/>
        </w:rPr>
        <w:t>【贮藏】遮光，密封保存。</w:t>
      </w:r>
    </w:p>
    <w:p w:rsidR="0016610C" w:rsidRPr="00BE0480" w:rsidRDefault="0016610C" w:rsidP="0016610C">
      <w:pPr>
        <w:pStyle w:val="a3"/>
        <w:ind w:firstLineChars="177" w:firstLine="425"/>
        <w:rPr>
          <w:rFonts w:ascii="宋体" w:hAnsi="宋体"/>
          <w:sz w:val="24"/>
          <w:szCs w:val="24"/>
        </w:rPr>
      </w:pPr>
      <w:r w:rsidRPr="00BE0480">
        <w:rPr>
          <w:rFonts w:ascii="宋体" w:hAnsi="宋体" w:hint="eastAsia"/>
          <w:sz w:val="24"/>
          <w:szCs w:val="24"/>
        </w:rPr>
        <w:t>【包装】 口服固体药用高密度聚乙烯瓶，100片/瓶、1000片/瓶。</w:t>
      </w:r>
    </w:p>
    <w:p w:rsidR="0016610C" w:rsidRPr="00BE0480" w:rsidRDefault="0016610C" w:rsidP="0016610C">
      <w:pPr>
        <w:pStyle w:val="a3"/>
        <w:ind w:firstLineChars="177" w:firstLine="425"/>
        <w:rPr>
          <w:rFonts w:ascii="宋体" w:hAnsi="宋体"/>
          <w:bCs/>
          <w:sz w:val="24"/>
          <w:szCs w:val="24"/>
        </w:rPr>
      </w:pPr>
      <w:r w:rsidRPr="00BE0480">
        <w:rPr>
          <w:rFonts w:ascii="宋体" w:hAnsi="宋体" w:hint="eastAsia"/>
          <w:bCs/>
          <w:sz w:val="24"/>
          <w:szCs w:val="24"/>
        </w:rPr>
        <w:t>【有效期】暂定24个月</w:t>
      </w:r>
    </w:p>
    <w:p w:rsidR="0016610C" w:rsidRPr="00BE0480" w:rsidRDefault="0016610C" w:rsidP="0016610C">
      <w:pPr>
        <w:pStyle w:val="a3"/>
        <w:ind w:firstLineChars="177" w:firstLine="425"/>
        <w:rPr>
          <w:rFonts w:ascii="宋体" w:hAnsi="宋体"/>
          <w:sz w:val="24"/>
          <w:szCs w:val="24"/>
        </w:rPr>
      </w:pPr>
      <w:r w:rsidRPr="00BE0480">
        <w:rPr>
          <w:rFonts w:ascii="宋体" w:hAnsi="宋体" w:hint="eastAsia"/>
          <w:bCs/>
          <w:sz w:val="24"/>
          <w:szCs w:val="24"/>
        </w:rPr>
        <w:t>【执行标准】</w:t>
      </w:r>
      <w:r w:rsidRPr="00BE0480">
        <w:rPr>
          <w:rFonts w:ascii="宋体" w:hAnsi="宋体" w:hint="eastAsia"/>
          <w:sz w:val="24"/>
          <w:szCs w:val="24"/>
        </w:rPr>
        <w:t>中国药典2020年版</w:t>
      </w:r>
      <w:r>
        <w:rPr>
          <w:rFonts w:ascii="宋体" w:hAnsi="宋体" w:hint="eastAsia"/>
          <w:sz w:val="24"/>
          <w:szCs w:val="24"/>
        </w:rPr>
        <w:t>第一增补本</w:t>
      </w:r>
      <w:r w:rsidRPr="00BE0480">
        <w:rPr>
          <w:rFonts w:ascii="宋体" w:hAnsi="宋体" w:hint="eastAsia"/>
          <w:sz w:val="24"/>
          <w:szCs w:val="24"/>
        </w:rPr>
        <w:t>。</w:t>
      </w:r>
    </w:p>
    <w:p w:rsidR="0016610C" w:rsidRPr="00BE0480" w:rsidRDefault="0016610C" w:rsidP="0016610C">
      <w:pPr>
        <w:pStyle w:val="a3"/>
        <w:ind w:firstLineChars="177" w:firstLine="425"/>
        <w:rPr>
          <w:rFonts w:ascii="宋体" w:hAnsi="宋体"/>
          <w:sz w:val="24"/>
          <w:szCs w:val="24"/>
        </w:rPr>
      </w:pPr>
      <w:r w:rsidRPr="00BE0480">
        <w:rPr>
          <w:rFonts w:ascii="宋体" w:hAnsi="宋体" w:hint="eastAsia"/>
          <w:sz w:val="24"/>
          <w:szCs w:val="24"/>
        </w:rPr>
        <w:t>【批准文号】国药准字H41020896</w:t>
      </w:r>
    </w:p>
    <w:p w:rsidR="0016610C" w:rsidRPr="00BE0480" w:rsidRDefault="0016610C" w:rsidP="0016610C">
      <w:pPr>
        <w:ind w:firstLineChars="177" w:firstLine="425"/>
        <w:outlineLvl w:val="0"/>
        <w:rPr>
          <w:rFonts w:ascii="宋体" w:hAnsi="宋体"/>
          <w:sz w:val="24"/>
        </w:rPr>
      </w:pPr>
      <w:r w:rsidRPr="00BE0480">
        <w:rPr>
          <w:rFonts w:ascii="宋体" w:hAnsi="宋体" w:hint="eastAsia"/>
          <w:sz w:val="24"/>
        </w:rPr>
        <w:t>【上市许可持有人】海南制药厂有限公司制药二厂</w:t>
      </w:r>
    </w:p>
    <w:p w:rsidR="0016610C" w:rsidRPr="00BE0480" w:rsidRDefault="0016610C" w:rsidP="0016610C">
      <w:pPr>
        <w:pStyle w:val="a3"/>
        <w:ind w:firstLineChars="177" w:firstLine="425"/>
        <w:rPr>
          <w:rFonts w:ascii="宋体" w:hAnsi="宋体"/>
          <w:sz w:val="24"/>
          <w:szCs w:val="24"/>
        </w:rPr>
      </w:pPr>
      <w:r w:rsidRPr="00BE0480">
        <w:rPr>
          <w:rFonts w:ascii="宋体" w:hAnsi="宋体" w:hint="eastAsia"/>
          <w:sz w:val="24"/>
        </w:rPr>
        <w:t>【地    址】林州市</w:t>
      </w:r>
      <w:proofErr w:type="gramStart"/>
      <w:r w:rsidRPr="00BE0480">
        <w:rPr>
          <w:rFonts w:ascii="宋体" w:hAnsi="宋体" w:hint="eastAsia"/>
          <w:sz w:val="24"/>
        </w:rPr>
        <w:t>史家河</w:t>
      </w:r>
      <w:proofErr w:type="gramEnd"/>
      <w:r w:rsidRPr="00BE0480">
        <w:rPr>
          <w:rFonts w:ascii="宋体" w:hAnsi="宋体" w:hint="eastAsia"/>
          <w:sz w:val="24"/>
        </w:rPr>
        <w:t>工业园区</w:t>
      </w:r>
    </w:p>
    <w:p w:rsidR="0016610C" w:rsidRPr="00BE0480" w:rsidRDefault="0016610C" w:rsidP="0016610C">
      <w:pPr>
        <w:pStyle w:val="a3"/>
        <w:ind w:firstLineChars="177" w:firstLine="425"/>
        <w:rPr>
          <w:rFonts w:ascii="宋体" w:hAnsi="宋体"/>
          <w:sz w:val="24"/>
          <w:szCs w:val="24"/>
        </w:rPr>
      </w:pPr>
      <w:r w:rsidRPr="00BE0480">
        <w:rPr>
          <w:rFonts w:ascii="宋体" w:hAnsi="宋体" w:hint="eastAsia"/>
          <w:sz w:val="24"/>
          <w:szCs w:val="24"/>
        </w:rPr>
        <w:t>【生产企业】</w:t>
      </w:r>
    </w:p>
    <w:p w:rsidR="0016610C" w:rsidRPr="00BE0480" w:rsidRDefault="0016610C" w:rsidP="0016610C">
      <w:pPr>
        <w:ind w:firstLineChars="177" w:firstLine="425"/>
        <w:rPr>
          <w:rFonts w:ascii="宋体" w:hAnsi="宋体"/>
          <w:sz w:val="24"/>
        </w:rPr>
      </w:pPr>
      <w:r w:rsidRPr="00BE0480">
        <w:rPr>
          <w:rFonts w:ascii="宋体" w:hAnsi="宋体" w:hint="eastAsia"/>
          <w:sz w:val="24"/>
        </w:rPr>
        <w:t>企业名称：海南制药厂有限公司制药二厂</w:t>
      </w:r>
    </w:p>
    <w:p w:rsidR="0016610C" w:rsidRPr="00BE0480" w:rsidRDefault="0016610C" w:rsidP="0016610C">
      <w:pPr>
        <w:spacing w:line="360" w:lineRule="exact"/>
        <w:ind w:firstLineChars="177" w:firstLine="425"/>
        <w:rPr>
          <w:rFonts w:ascii="宋体" w:hAnsi="宋体"/>
          <w:sz w:val="24"/>
        </w:rPr>
      </w:pPr>
      <w:r w:rsidRPr="00BE0480">
        <w:rPr>
          <w:rFonts w:ascii="宋体" w:hAnsi="宋体" w:hint="eastAsia"/>
          <w:sz w:val="24"/>
        </w:rPr>
        <w:t>生产地址：林州市</w:t>
      </w:r>
      <w:proofErr w:type="gramStart"/>
      <w:r w:rsidRPr="00BE0480">
        <w:rPr>
          <w:rFonts w:ascii="宋体" w:hAnsi="宋体" w:hint="eastAsia"/>
          <w:sz w:val="24"/>
        </w:rPr>
        <w:t>史家河</w:t>
      </w:r>
      <w:proofErr w:type="gramEnd"/>
      <w:r w:rsidRPr="00BE0480">
        <w:rPr>
          <w:rFonts w:ascii="宋体" w:hAnsi="宋体" w:hint="eastAsia"/>
          <w:sz w:val="24"/>
        </w:rPr>
        <w:t>工业园区</w:t>
      </w:r>
    </w:p>
    <w:p w:rsidR="0016610C" w:rsidRPr="00BE0480" w:rsidRDefault="0016610C" w:rsidP="0016610C">
      <w:pPr>
        <w:spacing w:line="360" w:lineRule="exact"/>
        <w:ind w:firstLineChars="177" w:firstLine="425"/>
        <w:rPr>
          <w:rFonts w:ascii="宋体" w:hAnsi="宋体"/>
          <w:sz w:val="24"/>
        </w:rPr>
      </w:pPr>
      <w:r w:rsidRPr="00BE0480">
        <w:rPr>
          <w:rFonts w:ascii="宋体" w:hAnsi="宋体" w:hint="eastAsia"/>
          <w:sz w:val="24"/>
        </w:rPr>
        <w:t>邮政编码：456592</w:t>
      </w:r>
    </w:p>
    <w:p w:rsidR="0016610C" w:rsidRPr="00BE0480" w:rsidRDefault="0016610C" w:rsidP="0016610C">
      <w:pPr>
        <w:spacing w:line="360" w:lineRule="exact"/>
        <w:ind w:firstLineChars="177" w:firstLine="425"/>
        <w:rPr>
          <w:rFonts w:ascii="宋体" w:hAnsi="宋体"/>
          <w:sz w:val="24"/>
        </w:rPr>
      </w:pPr>
      <w:r w:rsidRPr="00BE0480">
        <w:rPr>
          <w:rFonts w:ascii="宋体" w:hAnsi="宋体" w:hint="eastAsia"/>
          <w:sz w:val="24"/>
        </w:rPr>
        <w:t>电话号码：0372-6515111</w:t>
      </w:r>
    </w:p>
    <w:p w:rsidR="0016610C" w:rsidRDefault="0016610C" w:rsidP="0016610C">
      <w:pPr>
        <w:spacing w:line="360" w:lineRule="exact"/>
        <w:ind w:firstLineChars="177" w:firstLine="425"/>
        <w:rPr>
          <w:rFonts w:ascii="宋体" w:hAnsi="宋体"/>
          <w:sz w:val="24"/>
        </w:rPr>
      </w:pPr>
      <w:r w:rsidRPr="00BE0480">
        <w:rPr>
          <w:rFonts w:ascii="宋体" w:hAnsi="宋体" w:hint="eastAsia"/>
          <w:sz w:val="24"/>
        </w:rPr>
        <w:t>传真号码：0372-6515111</w:t>
      </w:r>
    </w:p>
    <w:p w:rsidR="00452548" w:rsidRDefault="00452548"/>
    <w:sectPr w:rsidR="004525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10C"/>
    <w:rsid w:val="0016610C"/>
    <w:rsid w:val="00452548"/>
    <w:rsid w:val="00B5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16610C"/>
    <w:pPr>
      <w:ind w:firstLine="420"/>
    </w:pPr>
    <w:rPr>
      <w:rFonts w:ascii="Times New Roman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16610C"/>
    <w:pPr>
      <w:ind w:firstLine="420"/>
    </w:pPr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395</Words>
  <Characters>2256</Characters>
  <Application>Microsoft Office Word</Application>
  <DocSecurity>0</DocSecurity>
  <Lines>18</Lines>
  <Paragraphs>5</Paragraphs>
  <ScaleCrop>false</ScaleCrop>
  <Company>2012dnd.com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2</cp:revision>
  <dcterms:created xsi:type="dcterms:W3CDTF">2024-10-09T05:19:00Z</dcterms:created>
  <dcterms:modified xsi:type="dcterms:W3CDTF">2025-01-13T02:58:00Z</dcterms:modified>
</cp:coreProperties>
</file>